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294 vom 12. Februar 2026</w:t>
      </w:r>
    </w:p>
    <w:p>
      <w:r>
        <w:t>BE Verwaltungsgericht, 2026-02-12, DE</w:t>
      </w:r>
    </w:p>
    <w:p>
      <w:r>
        <w:rPr>
          <w:b/>
        </w:rPr>
        <w:t xml:space="preserve">Quelle: </w:t>
      </w:r>
      <w:r>
        <w:t>https://mcp.opencaselaw.ch/entscheid/be_verwaltungsgericht_100 2024 294</w:t>
      </w:r>
    </w:p>
    <w:p>
      <w:r>
        <w:t>FR: BE_VERWALTUNGSGERICHT 100 2024 294 du 12 février 2026</w:t>
      </w:r>
    </w:p>
    <w:p>
      <w:r>
        <w:t>IT: BE_VERWALTUNGSGERICHT 100 2024 294 del 12 febbraio 2026</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w:t>
      </w:r>
    </w:p>
    <w:p>
      <w:r>
        <w:rPr>
          <w:b/>
        </w:rPr>
        <w:t>E. 1.2</w:t>
      </w:r>
    </w:p>
    <w:p>
      <w:r>
        <w:t>Die Beschwerdeführerin hat am vorinstanzlichen Rekurs- und Be- schwerdeverfahren teilgenommen, ist durch die angefochtenen Entscheide besonders berührt und hat ein schutzwürdiges Interesse an deren Aufhe- bung oder Änderung (Art. 79 Abs. 1 VRPG; vgl. auch Art. 201 Abs. 2 StG sowie Art. 145 Abs. 2 i.V.m. Art. 140 Abs. 1 DBG). Zwar beantragt die Be- schwerdeführerin förmlich die gänzliche Aufhebung der angefochtenen Ent- scheide und ficht so an sich auch das teilweise Nichteintreten der StRK auf Rekurs und Beschwerde an. Indes äussert sie sich in ihren Ausführungen ausschliesslich zur abschlägigen materiellen Beurteilung ihres Gesuchs und nimmt zur partiellen Nichtanhandnahme ihrer Rechtsmittel durch die Vor- instanz mit keinem Wort Stellung. Werden ihre Rechtsbegehren im Licht der Beschwerdebegründung gelesen (vgl. BVR 2016 S. 560 E. 2, 2011 S. 391 E. 3.3), ist der Antrag auf Aufhebung der angefochtenen Entscheide so zu verstehen, dass vor Verwaltungsgericht nicht auch das teilweise Nichtein- treten der Vorinstanz beanstandet wird. Die Bestimmungen über Form und</w:t>
      </w:r>
    </w:p>
    <w:p>
      <w:r>
        <w:t>Urteil des Verwaltungsgerichts des Kantons Bern vom 17.02.2026, Nrn. 100.2024.294/ 295U, Seite 4 Frist sind eingehalten (Art. 151 StG i.V.m. Art. 81 Abs. 1 und Art. 32 VRPG; Art. 145 Abs. 2 i.V.m. Art. 140 DBG). Auf die Beschwerden ist einzutreten.</w:t>
      </w:r>
    </w:p>
    <w:p>
      <w:r>
        <w:rPr>
          <w:b/>
        </w:rPr>
        <w:t>E. 1.3</w:t>
      </w:r>
    </w:p>
    <w:p>
      <w:r>
        <w:t>Sind sowohl Entscheide bezüglich der Kantons- und Gemeindesteu- ern als auch der direkten Bundessteuer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146 II 111 [BGer 2C_151/2017 vom 16.12.2019, in StE 2020 B 11.3 Nr. 31] nicht publ. E. 1.1, 142 II 293 E. 1.2, 135 II 260 E. 1.3.1 [Pra 99/2010 Nr. 37]). Da hier die einschlägigen Bestimmungen des kantonalen und eidgenössischen Rechts weitgehend gleich lauten, rechtfertigt sich die gemeinsame Beurtei- lung der Streitigkeit hinsichtlich kommunaler, kantonaler und eidgenössi- scher Steuern.</w:t>
      </w:r>
    </w:p>
    <w:p>
      <w:r>
        <w:rPr>
          <w:b/>
        </w:rPr>
        <w:t>E. 1.4</w:t>
      </w:r>
    </w:p>
    <w:p>
      <w:r>
        <w:t>Da der Streitwert Fr. 20'000.-- nicht erreicht, fällt die Streitsache in die einzelrichterliche Zuständigkeit (Art. 57 Abs. 1 des Gesetzes vom 11. Juni 2009 über die Organisation der Gerichtsbehörden und der Staats- anwaltschaft [GSOG; BSG 161.1]).</w:t>
      </w:r>
    </w:p>
    <w:p>
      <w:r>
        <w:rPr>
          <w:b/>
        </w:rPr>
        <w:t>E. 1.5</w:t>
      </w:r>
    </w:p>
    <w:p>
      <w:r>
        <w:t>Das Verwaltungsgericht überprüft die angefochtenen Entscheide auf Rechtsverletzungen hin (Art. 80 Bst. a und b VRPG).</w:t>
      </w:r>
    </w:p>
    <w:p>
      <w:r>
        <w:rPr>
          <w:b/>
        </w:rPr>
        <w:t>E. 2</w:t>
      </w:r>
    </w:p>
    <w:p>
      <w:r>
        <w:t>Den gestellten kassatorischen Hauptantrag begründet die Beschwerdefüh- rerin mit einer Verletzung des Untersuchungsgrundsatzes (vgl. Art. 151 StG i.V.m. Art. 18 Abs. 1 VRPG; Art. 166 StG; Art. 123 DBG; vgl. auch Art. 199 Abs. 1 StG; Art. 143 Abs. 1 DBG) bzw. ihres Anspruchs auf rechtliches Gehör (vgl. Art. 21 ff. VRPG sowie Art. 29 Abs. 2 der Bundesverfassung [BV; SR 101] und Art. 26 Abs. 2 der Verfassung des Kantons Bern [KV; BSG 101.1]; vgl. zum Begriff statt vieler BGE 146 II 335 E. 5.1, 142 I 135 E. 2.1; BVR 2022 S. 51 E. 2.3, 2021 S. 285 E. 3.4.2).</w:t>
      </w:r>
    </w:p>
    <w:p>
      <w:r>
        <w:t>Urteil des Verwaltungsgerichts des Kantons Bern vom 17.02.2026, Nrn. 100.2024.294/ 295U, Seite 5</w:t>
      </w:r>
    </w:p>
    <w:p>
      <w:r>
        <w:rPr>
          <w:b/>
        </w:rPr>
        <w:t>E. 2.1</w:t>
      </w:r>
    </w:p>
    <w:p>
      <w:r>
        <w:t>Zunächst beanstandet die Beschwerdeführerin, dass «die Steuerver- waltung den Sachverhalt auf Stufe Steuerjustizverfahren um[ge]deutet» habe, ohne ihr vorgängig Gelegenheit zur Äusserung zu geben. Während im Veranlagungs- und Einspracheverfahren «ausschliesslich der Teilsachver- halt der Dauer von Kundenbeziehungen überprüft worden» sei, habe die Steuerverwaltung im Verfahren vor der StRK erstmals «behauptet, zu den Anlässen seien gar nicht Kunden eingeladen worden». Daraufhin habe sie in ihrer Replik «verschiedene Beweisabklärungen vorgeschlagen, inklusive das Einholen einer Liste der Eingeladenen». Dass die StRK keine Beweise erhoben habe, verletze ihren Anspruch auf rechtliches Gehör. Gleiches gelte bezüglich dreier weiterer «Beispiele» für Umdeutungen, auf die sie in ihrer Replik hingewiesen habe (Beschwerden S. 6 f.). – Was die Beschwerdefüh- rerin genau beanstandet, ist nicht leicht verständlich, aber eine Gehörsver- letzung vermag sie mit ihren Vorbringen ohnehin nicht darzutun: Die Steuerverwaltung hat in den Einspracheentscheiden zwar unter Hinweis auf den Eintragungszeitpunkt der Beschwerdeführerin im Handelsregister auch erwogen, diese habe im Jahr 2019 noch gar kein 25-Jahre-Jubiläum feiern können. Wesentlich mehr Raum nahmen in ihren Erwägungen jedoch die privaten (verwandtschaftlichen) Beziehungen ein, die zwischen dem Allein- aktionär der Beschwerdeführerin und mehreren namentlich genannten Gäs- ten des Jubiläumsanlasses bestehen (vgl. Vorakten StRK [act. 4A] pag. 26 f.). In ihrer Rekurs- und Beschwerdeantwort vom 19. Mai 2023 hat die Steuerverwaltung wieder beide dieser Aspekte aufgegriffen (vgl. Vorak- ten StRK [act. 4A] pag. 78-81). Mithin liegt von vornherein keine «Umdeu- tung» des Sachverhalts vor und der entsprechenden Rüge der Beschwerde- führerin ist die Grundlage entzogen; Weiterungen können deshalb unterbleiben. Dies gilt auch in Bezug auf die anderen geltend gemachten «Umdeutungen» und die angeblich unterbliebenen Beweismassnahmen, er- gibt sich doch aus den Vorbringen der Beschwerdeführerin nicht, um welche Sachverhalte und welche Beweismassnahmen es sich handeln soll. Sie er- wähnt einzig eine «Liste der Eingeladenen», deren Einholung sie vorge- schlagen habe. Insoweit liegt bereits darum keine Verletzung des Untersuchungsgrundsatzes vor, weil die Beschwerdeführerin angesichts ih- rer Mitwirkungspflicht (vgl. Art. 167 StG bzw. Art. 126 DBG) eine entspre- chende Liste ohne weiteres selber hätte einreichen können und müssen (vgl. hinten E. 4.3 und insb. E. 5.2.1); das hat sie indes bis heute nicht getan. Bei</w:t>
      </w:r>
    </w:p>
    <w:p>
      <w:r>
        <w:t>Urteil des Verwaltungsgerichts des Kantons Bern vom 17.02.2026, Nrn. 100.2024.294/ 295U, Seite 6 diesen Gegebenheiten braucht nicht näher erörtert zu werden, inwiefern «Umdeutungen» seitens der Steuerverwaltung im Rekurs- und Beschwerde- verfahren vor der StRK überhaupt den Gehörsanspruch der Beschwerdefüh- rerin verletzen könnten. Dieser wurde im Übrigen am 28. Juni 2023 im Einklang mit Art. 157 StG bzw. Art. 142 Abs. 5 i.V.m. Art. 114 DBG Akten- einsicht gewährt (Vorakten StRK [act. 4A] pag. 86); tagsdarauf hat sie eine Replik (Vorakten StRK [act. 4A] pag. 88 ff.) und am 17. August 2023 eine Triplik (Vorakten StRK [act. 4A] pag. 111 ff.) eingereicht, also ihre Gehörs- rechte nach Art. 151 StG i.V.m. Art. 24 VRPG bzw. Art. 142 Abs. 2 DBG um- fassend wahrgenommen.</w:t>
      </w:r>
    </w:p>
    <w:p>
      <w:r>
        <w:rPr>
          <w:b/>
        </w:rPr>
        <w:t>E. 2.2</w:t>
      </w:r>
    </w:p>
    <w:p>
      <w:r>
        <w:t>Zur Begründung ihres Hauptantrags macht die Beschwerdeführerin weiter geltend, im Verfahren vor der Steuerverwaltung sei es zu «schwer- wiegende[n] Verletzungen von Verfahrensrechten» gekommen, die als sol- che im Steuerjustizverfahren nicht heilbar seien. Die StRK hätte deshalb einschreiten bzw. die Einspracheentscheide aufheben müssen (Beschwer- den S. 8 ff.). Ihre dahingehenden Rügen substanziiert sie indes nicht näher und aus ihren Ausführungen wird nicht verständlich, inwiefern die StRK in Bezug auf verfahrensrechtliche Bestimmungen Recht verletzt haben soll. Soweit die Beschwerdeführerin dabei ungenügende Sachverhaltserhebun- gen behauptet und ihre «volle Mitwirkung» betont, beschlagen ihre Vorbrin- gen die materielle Beurteilung der Streitigkeit und taugen von vornherein nicht als Begründung für den Kassationsantrag; gleiches gilt für die Hinweise auf ein angebliches «Berufsgeheimnis», das missachtet worden sei (vgl. dazu hinten E. 5.3).</w:t>
      </w:r>
    </w:p>
    <w:p>
      <w:r>
        <w:rPr>
          <w:b/>
        </w:rPr>
        <w:t>E. 2.3</w:t>
      </w:r>
    </w:p>
    <w:p>
      <w:r>
        <w:t>Nach dem Gesagten ist keine Verletzung des Anspruchs der Be- schwerdeführerin auf rechtliches Gehör oder von anderen Verfahrensrech- ten dargetan. Der Hauptantrag erweist sich mithin als unbegründet.</w:t>
      </w:r>
    </w:p>
    <w:p>
      <w:r>
        <w:rPr>
          <w:b/>
        </w:rPr>
        <w:t>E. 3</w:t>
      </w:r>
    </w:p>
    <w:p>
      <w:r>
        <w:t>Mit ihrem Eventualantrag verlangt die Beschwerdeführerin eine Reduktion ihres steuerbaren Gewinns. Sie ist der Auffassung, die StRK habe zu Un- recht Aufwandpositionen als nicht geschäftsmässig begründet aufgerechnet.</w:t>
      </w:r>
    </w:p>
    <w:p>
      <w:r>
        <w:t>Urteil des Verwaltungsgerichts des Kantons Bern vom 17.02.2026, Nrn. 100.2024.294/ 295U, Seite 7 Betroffen von der Aufrechnung sind ein Betrag von Fr. 10'336.-- für Weiter- bildung des Alleinaktionärs der Beschwerdeführerin und ein solcher von Fr. 18'996.-- für Werbeaufwand bzw. ein «Firmenjubiläum». Die einschlägi- gen rechtlichen Grundlagen präsentieren sich wie folgt:</w:t>
      </w:r>
    </w:p>
    <w:p>
      <w:r>
        <w:rPr>
          <w:b/>
        </w:rPr>
        <w:t>E. 3.1</w:t>
      </w:r>
    </w:p>
    <w:p>
      <w:r>
        <w:t>Gegenstand der Gewinnsteuer juristischer Personen bildet der Rein- gewinn (Art. 85 Abs. 1 StG; Art. 57 DBG). Bestimmt wird er gemäss Art. 85 Abs. 2 Bst. a StG und Art. 58 Abs. 1 Bst. a DBG ausgehend vom Saldo der Erfolgsrechnung unter Berücksichtigung des Saldovortrags des Vorjahrs, womit das Prinzip der Massgeblichkeit der Handelsbilanz ausdrücklich fest- geschrieben ist. Es besagt zum einen, dass in materieller Hinsicht die han- delsrechtlichen Grundsätze ordnungsgemässer Buchführung und Rech- nungslegung auch für die Bemessung des steuerbaren Gewinns massgebend sind, soweit keine speziellen steuerrechtlichen Vorschriften für die Gewinnermittlung zur Anwendung gelangen. Zum anderen bilden in for- meller Hinsicht die von der steuerpflichtigen Person konkret eingereichte Bi- lanz und Erfolgsrechnung Ausgangspunkt und Grundlage der steuerlichen Gewinnermittlung; die steuerpflichtige Person wird auf ihrer Darstellung in der Jahresrechnung behaftet, sofern diese in Übereinstimmung mit dem Handelsrecht erstellt wurde und das Steuerrecht keine abweichenden Rege- lungen enthält (vgl. BGE 147 II 209 E. 3.1.1; BVR 2012 S. 58 E. 3.3.6; ferner jüngst VGE 2024/89/90 vom 11.2.2026 E. 2.1, auch zum Folgenden). Während die Bewertungsvorschriften des Handelsrechts Höchstbewer- tungsvorschriften darstellen, die primär zum Schutz der Gläubigerschaft ver- hindern sollen, dass die Ertrags- und Vermögenslage des Unternehmens zu günstig ausgewiesen wird, bezwecken die steuerrechtlichen Korrekturvor- schriften, dass die Ertrags- und Vermögenslage entsprechend dem Grund- satz der Besteuerung nach der wirtschaftlichen Leistungsfähigkeit gemäss Art. 104 Abs. 1 KV und Art. 127 Abs. 2BV nicht zu ungünstig präsentiert wird. Das Steuerrecht kennt deshalb verschiedene Tatbestände, die zu steu- erlichen Korrekturen eines handelsrechtlich korrekt ermittelten Reingewinns führen. So werden zum ausgewiesenen Gewinn alle vor Berechnung des Saldos der Erfolgsrechnung ausgeschiedenen Teile des Geschäftsergebnis- ses hinzugerechnet, die nicht zur Deckung von geschäftsmässig begründe- tem Aufwand verwendet wurden; dazu zählen insbesondere offene und verdeckte Gewinnausschüttungen und geschäftsmässig nicht begründete</w:t>
      </w:r>
    </w:p>
    <w:p>
      <w:r>
        <w:t>Urteil des Verwaltungsgerichts des Kantons Bern vom 17.02.2026, Nrn. 100.2024.294/ 295U, Seite 8 Zuwendungen an Dritte (Art. 85 Abs. 2 Bst. b Ziff. 5 StG; Art. 58 Abs. 1 Bst. b Al. 5 DBG).</w:t>
      </w:r>
    </w:p>
    <w:p>
      <w:r>
        <w:rPr>
          <w:b/>
        </w:rPr>
        <w:t>E. 3.2</w:t>
      </w:r>
    </w:p>
    <w:p>
      <w:r>
        <w:t>Der Begriff des geschäftsmässig begründeten bzw. nicht begründe- ten Aufwands wird im Gesetz durch eine beispielhafte Aufzählung näher um- schrieben, aber nicht abschliessend definiert. Es muss deshalb im Einzelfall unter Würdigung aller Umstände bestimmt werden, ob ein steuerlich abzugs- fähiger Aufwand vorliegt. Die geschäftsmässige Begründetheit einer Auf- wendung beurteilt sich anhand des unternehmerischen Zwecks. Besteht kein objektiver Zusammenhang mit dem Betrieb und dem damit verfolgten Zweck der Gewinnerzielung, handelt es sich auch nicht um geschäfts- oder berufs- mässig begründete Kosten (vgl. BGE 143 II 8 E. 3, 138 IV 47 [BGer 6B_453/2011 vom 20.12.2011] nicht publ. E. 5.3; auch etwa BGer 2C_153/2021 vom 25.8.2021, in StR 2021 S. 794 E. 3.2.2; VGE 2024/75/76 vom 3.6.2025 E. 2.2, 2022/11/12 vom 5.4.2024 E. 3.1, 2020/208/209 vom 7.6.2023 E. 2.2). Nicht vorausgesetzt wird, dass eine Auf- wendung tatsächlich erforderlich ist. Insbesondere erfolgt eine Aufrechnung nicht schon dann, wenn die Steuerpflichtigen ungeschickt disponieren. Es genügt, dass ein objektiver bzw. ein direkter (organischer) Zusammenhang zwischen der Aufwendung und der Unternehmenstätigkeit besteht, wobei die blosse Möglichkeit einer Gewinnerzielung ausreicht (VGE 2024/75/76 vom 3.6.2025 E. 2.2, 2019/42/43 vom 24.4.2019 E. 4.3 [bestätigt durch BGer 2C_509/2019 vom 3.10.2019]; Oesterhelt/Mühlemann/Bertschinger, in Zweifel/Beusch [Hrsg.], Kommentar zum Schweizerischen Steuerrecht,</w:t>
      </w:r>
    </w:p>
    <w:p>
      <w:r>
        <w:rPr>
          <w:b/>
        </w:rPr>
        <w:t>E. 3.3</w:t>
      </w:r>
    </w:p>
    <w:p>
      <w:r>
        <w:t>Die Steuerbehörde trägt grundsätzlich die Beweislast für steuerbe- gründende und -erhöhende Tatsachen und die steuerpflichtige Person für steueraufhebende oder -mindernde Tatsachen (statt vieler BGE 146 II 6 E. 4.2; BVR 2011 S. 241 E. 4.1; VGE 2020/193/194 vom 9.11.2021 [bestätigt durch BGer 2C_1012/2021 vom 13.9.2022, in ASA 91 S. 283], in StE 2022 B 72.14.2 Nr. 59 E. 2.4). Entsprechend tragen selbständig Erwer- bende oder juristische Personen die Beweislast dafür, dass ein geltend ge- machter Aufwand erfolgt und geschäftsmässig begründet ist (BGer 2C_118/2021 vom 19.5.2021 E. 2.2, 2C_509/2019 vom 3.10.2019 E. 4.4, 2C_697/2014 vom 1.5.2015, in StR 70/2015 S. 603 und StE 2015 B 72.14.2 Nr. 45 E. 2.3 [betreffend Aufrechnung von Privataufwand für Lu- xusfahrzeuge]; vgl. auch BGE 147 II 209 E. 5.1.1 [betreffend Rückstellun- gen]).</w:t>
      </w:r>
    </w:p>
    <w:p>
      <w:r>
        <w:rPr>
          <w:b/>
        </w:rPr>
        <w:t>E. 4</w:t>
      </w:r>
    </w:p>
    <w:p>
      <w:r>
        <w:t>In Bezug auf die streitige Aufrechnung im Zusammenhang mit Aufwendun- gen für die Weiterbildung des Alleinaktionärs der Beschwerdeführerin ergibt sich Folgendes:</w:t>
      </w:r>
    </w:p>
    <w:p>
      <w:r>
        <w:rPr>
          <w:b/>
        </w:rPr>
        <w:t>E. 4.1</w:t>
      </w:r>
    </w:p>
    <w:p>
      <w:r>
        <w:t>Die StRK hat erwogen, Kosten für die Weiterbildung eines Geschäft- sinhabers seien nur dann geschäftsmässig begründet, wenn sie aus echt betrieblich motivierten Gründen vom Unternehmen getragen würden. Das Erfüllen dieser Voraussetzung vermöge die Beschwerdeführerin in Bezug auf die Bildungskosten, die sie als Aufwand verbucht habe, nicht dazutun: Der Alleinaktionär habe sich 2019 bereits im Pensionsalter befunden und sei von der Beschwerdeführerin für seine Tätigkeiten bloss mit einem Jahresge- halt von Fr. 14'400.-- entschädigt worden. Deshalb sei nicht glaubwürdig, dass Bildungskosten des Alleinaktionärs in der Höhe von Fr. 10'336.-- aus betrieblichen Gründen übernommen worden seien. Dies umso weniger, als es sich bei den verbuchten Auslagen zu einem grossen Teil um die Kosten von Auslandreisen des Alleinaktionärs gehandelt habe, die er in Begleitung seiner Ehefrau unternommen habe (angefochtene Entscheide E. 6 ff.). – Die Beschwerdeführerin wendet ein, die StRK habe die streitigen Auslagen zu Unrecht unter dem Titel Weiterbildungskosten beurteilt. Die fraglichen Auf-</w:t>
      </w:r>
    </w:p>
    <w:p>
      <w:r>
        <w:t>Urteil des Verwaltungsgerichts des Kantons Bern vom 17.02.2026, Nrn. 100.2024.294/ 295U, Seite 10 wendungen stünden nämlich im Zusammenhang mit einer «Steuerpublika- tion» ihres Alleinaktionärs. Für eine «in Entstehung begriffene» Monographie «zum internationalen Steuerregime» habe sie finanzielle Unterstützung ge- leistet, was in ihrem Geschäftsinteresse liege. Der Alleinaktionär habe zwar im Jahr 2019 nur ein geringes Gehalt bezogen, für sie aber «über 800 ver- rechenbare Stunden geleistet» und sei so für mehr als die Hälfte ihres erziel- ten Umsatzes verantwortlich gewesen. Das fortgeschrittene Alter des Alleinaktionärs sei irrelevant, weil sie mit dessen Beratungen auch heute noch ihren Hauptumsatz erziele (Beschwerden S. 15 ff.).</w:t>
      </w:r>
    </w:p>
    <w:p>
      <w:r>
        <w:rPr>
          <w:b/>
        </w:rPr>
        <w:t>E. 4.2</w:t>
      </w:r>
    </w:p>
    <w:p>
      <w:r>
        <w:t>Obschon in ihren Büchern als «Sonderaufwand Weiterbildung» ver- bucht (vgl. angefochtene Entscheide E. 7) macht die Beschwerdeführerin mit dem entsprechenden Aufwand also nicht Kosten für eine berufsorientierte Aus- oder Weiterbildung ihres Personals im Sinn von Art. 90 Abs. 1 Bst. e StG bzw. Art. 59 Abs. 1 Bst. e DBG geltend. Welche anderen Leistun- gen mit den auf dem Konto Nr. 5811 verbuchten Beträgen abgegolten wor- den sind und inwiefern diese in einem direkten Zusammenhang zur schriftlichen Arbeit stehen sollen, die ihr Alleinaktionär verfasst hat, wird aus ihren Ausführungen jedoch nicht verständlich. Auch aus den Akten ergibt sich die Natur der fraglichen Beträge nicht klar, hat die Beschwerdeführerin doch weder im Einspracheverfahren noch vor der StRK die einzelnen Bu- chungen oder deren geschäftsmässige Begründetheit näher erläutert. Sie beschränkte sich vielmehr auf den allgemeinen Hinweis, der Alleinaktionär habe 2022 ein Geschichtsstudium an der Universität Zürich abgeschlossen, für das Auslandaufenthalte erforderlich gewesen seien; weiter bilde die im Rahmen dieses Studiums verfasste Masterarbeit Teil der erwähnten «Steu- erpublikation» des Alleinaktionärs. Die Kosten für deren Erarbeitung seien «zum Teil» von der Beschwerdeführerin übernommen worden, der «Haupt- brocken» sei aber vom Alleinaktionär und dessen Ehefrau «privat» getragen worden (Vorakten StRK [act. 4A] pag. 8 ff.). Damit bleibt unklar, welche Kos- ten in welchem Umfang von der Beschwerdeführerin übernommen worden sind und weshalb diese zugunsten ihres Alleinaktionärs gemachten Aufwen- dungen geschäftsmässig begründet sein sollten. Es ist kein direkter Bezug zum Betrieb der Beschwerdeführerin im Bereich der (Steuer-)Beratung er- sichtlich und es bleibt unklar, inwiefern die betreffenden Auslagen der ange- strebten Gewinnerzielung dienen könnten (vgl. vorne E. 3.2). Der Umstand,</w:t>
      </w:r>
    </w:p>
    <w:p>
      <w:r>
        <w:t>Urteil des Verwaltungsgerichts des Kantons Bern vom 17.02.2026, Nrn. 100.2024.294/ 295U, Seite 11 dass der Alleinaktionär offenbar persönlich für einen Grossteil des erzielten Umsatzes verantwortlich ist, macht die Übernahme von Kosten im Zusam- menhang mit einem von diesem – zudem im Pensionsalter und ohne direkten Bezug zur Tätigkeit der Unternehmung – aufgenommenen Zweitstudium nicht zu einer Auslage mit objektivem Bezug zum Unternehmenszweck der Beschwerdeführerin.</w:t>
      </w:r>
    </w:p>
    <w:p>
      <w:r>
        <w:rPr>
          <w:b/>
        </w:rPr>
        <w:t>E. 4.3</w:t>
      </w:r>
    </w:p>
    <w:p>
      <w:r>
        <w:t>Diese hat nach dem Gesagten nicht dargetan, dass es sich bei den als «Sonderaufwand Weiterbildung» verbuchten Fr. 10'336.-- um geschäfts- mässig begründeten Aufwand handelt. Aufgrund der Umstände liegt der Schluss nahe, dass die Auslagen der Beschwerdeführerin für Studium und wissenschaftliche Publikation des Alleinaktionärs dessen privatem Lebens- aufwand zuzurechnen sind, was indes nicht abschliessend geklärt werden muss: Da die Beweislast für geschäftsmässig begründeten Aufwand der Be- schwerdeführerin obliegt (vorne E. 3.3), hat die Vorinstanz die fraglichen Fr. 10'336.-- so oder anders zu Recht gestützt auf Art. 85 Abs. 2 Bst. b StG und Art. 58 Abs. 1 Bst. b DBG zum steuerbaren Reingewinn gezählt. Entge- gen den Vorbringen der Beschwerdeführerin liegt darin keine Verletzung des Untersuchungsgrundsatzes, handelt es sich doch bei den konkreten Um- ständen der streitigen Buchungen offensichtlich um Fragen, die die Be- schwerdeführerin besser kennt als die Behörden und die diese ohne ihre Mitwirkung nicht erheben können (vgl. BVR 2018 S. 139 E. 4.4.3; vgl. auch BGE 143 II 425 E. 5.1 mit Hinweisen). Zudem musste der Beschwerdefüh- rerin klar sein, dass Hotelübernachtungen im Ausland, die teils mit der «pri- vaten» Kreditkarte der Ehefrau des Alleinaktionärs bezahlt worden waren (vgl. Vorakten StRK [act. 4A] pag. 26; angefochtene Entscheide E. 9.5), im Hinblick auf den Zusammenhang mit ihrer Geschäftstätigkeit Fragen aufwer- fen und deshalb spätestens im Rechtsmittelverfahren einer umfassenden Klärung bedürfen würden. Im Übrigen darf grundsätzlich erwartet werden, dass Steuerpflichtige steuermindernde Tatsachen von sich aus darlegen und nachweisen (BGer 2C_620/2020 vom 19.1.2021 E. 4.1; Richner/Frei/Kauf- mann/Rohner, Handkommentar zum DBG, 4. Aufl. 2023, Art. 140 N. 54 f.; vgl. auch Michel Daum, in Herzog/Daum [Hrsg.], Kommentar zum berni- schen VRPG, 2. Aufl. 2020, Art. 20 N. 16). Zur entsprechenden Mitwirkung gehört, dass die Steuerpflichtigen durch eine substanziierte Sachdarstellung und durch Vorlage von sachdienlichen Unterlagen die Richtigkeit ihrer Dar-</w:t>
      </w:r>
    </w:p>
    <w:p>
      <w:r>
        <w:t>Urteil des Verwaltungsgerichts des Kantons Bern vom 17.02.2026, Nrn. 100.2024.294/ 295U, Seite 12 stellung dartun, soweit ihnen dies zumutbar ist (vgl. BGE 147 II 209 E. 5.1.3; BGer 2C_282/2022 vom 17.11.2022, in StE 2023 B 72.14.2 Nr. 61 E. 4.3.3; VGE 2020/208/209 vom 7.6.2023 E. 5.3).</w:t>
      </w:r>
    </w:p>
    <w:p>
      <w:r>
        <w:rPr>
          <w:b/>
        </w:rPr>
        <w:t>E. 5</w:t>
      </w:r>
    </w:p>
    <w:p>
      <w:r>
        <w:t>In Bezug auf die Aufwendungen für ein «Firmenjubiläum» der Beschwerde- führerin ergibt sich Folgendes:</w:t>
      </w:r>
    </w:p>
    <w:p>
      <w:r>
        <w:rPr>
          <w:b/>
        </w:rPr>
        <w:t>E. 5.1</w:t>
      </w:r>
    </w:p>
    <w:p>
      <w:r>
        <w:t>Wie die Weiterbildungskosten hat die StRK die als Werbeaufwand verbuchten Fr. 18'996.--, die angeblich für ein «Firmenjubiläum» der Be- schwerdeführerin angefallen sind, nicht als geschäftsmässig begründet an- erkannt. In den angefochtenen Entscheiden hat sie die Ausgaben für verschiedene Restaurantbesuche, Hotelübernachtungen und für Kunstdru- cke je einzeln im Detail erörtert und erwogen, die verschiedenen aktenkun- digen Dokumente vermöchten keinen genügenden Geschäftsbezug zu belegen. Insbesondere seien auf den eingereichten Quittungen weder der Geschäftszweck noch (mit einer Ausnahme) die Gäste vermerkt. Das Abend- essen vom 7. Juni 2019 falle zudem auf den Tag, an dem die Ehefrau des Alleinaktionärs in einer Galerie eine Ausstellung eigener Kunstwerke eröffnet habe, was einen privaten Bezug der Aufwendungen nahelege. Sodann seien die Auslagen im Juli 2019 für ein Essen im Restaurant Hotel de Ville in C.________ und Übernachtungen im Hotel B.________ Palace direkt der Familie des Alleinaktionärs zugutegekommen, ohne dass ein Geschäftsbe- zug dargetan sei (angefochtene Entscheide E. 10 ff.).</w:t>
      </w:r>
    </w:p>
    <w:p>
      <w:r>
        <w:rPr>
          <w:b/>
        </w:rPr>
        <w:t>E. 5.2</w:t>
      </w:r>
    </w:p>
    <w:p>
      <w:r>
        <w:t>Mit diesen Erwägungen der Vorinstanz setzt sich die Beschwerdefüh- rerin nicht substanziiert auseinander. Stattdessen erläutert sie, weshalb es «aus unternehmenswirtschaftlicher Sicht vertretbar» gewesen sei, wenn sie «einen Teil der Kosten für […] Werbemassnahmen» getragen haben, die das 25-jährige Jubiläum des «Labels …» bzw. die … betroffen hätten (Beschwer- den S. 18 ff.). Ihre entsprechenden Ausführungen gehen an der Sache vor- bei, da es im Licht der vorinstanzlichen Erwägungen den konkreten geschäftlichen Bezug der einzelnen Buchungen nachzuweisen gilt. Einen solchen weist die Beschwerdeführerin auch vor Verwaltungsgericht nicht</w:t>
      </w:r>
    </w:p>
    <w:p>
      <w:r>
        <w:t>Urteil des Verwaltungsgerichts des Kantons Bern vom 17.02.2026, Nrn. 100.2024.294/ 295U, Seite 13 nach. Vielmehr macht sie zur geschäftsmässigen Begründetheit der streiti- gen Aufwendungen bloss allgemeine Ausführungen, die keine Klärung brin- gen.</w:t>
      </w:r>
    </w:p>
    <w:p>
      <w:r>
        <w:rPr>
          <w:b/>
        </w:rPr>
        <w:t>E. 5.2.1</w:t>
      </w:r>
    </w:p>
    <w:p>
      <w:r>
        <w:t>Gemäss der Beschwerdeführerin sind zum Anlass vom 7. Juni 2019, der aus dem Besuch einer Kunstausstellung der Ehefrau des Alleinaktionärs und einem anschliessenden Abendessen bestanden habe, 80 Kunden ein- geladen worden. Diesen Sachverhalt hätten Steuerverwaltung und StRK «durch eine Beweisführung» abklären können (Beschwerden S. 22 f.). – Als Beleg dafür, dass es sich um einen Kundenanlasses gehandelt habe, ver- weist die Beschwerdeführerin einzig auf den Text einer Einladung, die sie angeblich der Kundschaft hat zukommen lassen und nun in vollem Wortlaut in ihrer Beschwerdeschrift wiedergibt (vgl. Beschwerden S. 22). Weitere Un- terlagen, namentlich solche, aus denen sich ergäbe, welche Personen am Anlass teilgenommen haben und inwiefern zu ihnen Geschäftsbeziehungen bestehen, legt sie auch im verwaltungsgerichtlichen Verfahren keine vor. Bei diesen Gegebenheiten ist nicht zu beanstanden, dass die StRK erwogen hat, ein direkter Bezug des Anlasses vom 7. Juni 2019 zum Betrieb der Be- schwerdeführerin sei nicht erstellt. Kenntnis davon, inwiefern an der Eröff- nung der Ausstellung und am Abendessen tatsächlich Kundinnen und Kunden der Beschwerdeführerin teilgenommen haben, hat nur sie selber. Deshalb wäre sie aufgrund ihrer Mitwirkungspflicht gehalten, diese Informa- tionen beizubringen. Der Verweis auf nicht näher erläuterte Abklärungsmög- lichkeiten der Vorinstanz ist ebenso untauglich wie der spitzfindige Hinweis, nicht (ausdrücklich) zum Einreichen einer Gästeliste aufgefordert worden zu sein.</w:t>
      </w:r>
    </w:p>
    <w:p>
      <w:r>
        <w:rPr>
          <w:b/>
        </w:rPr>
        <w:t>E. 5.2.2</w:t>
      </w:r>
    </w:p>
    <w:p>
      <w:r>
        <w:t>In Bezug auf den Anlass in B.________ und C.________ führt die Beschwerdeführerin aus, es seien zwar «auch» Kunden eingeladen worden, die dem Alleinaktionär nahestünden, aber für diese seien 2019 in erhebli- chem Umfang Beratungsdienstleistungen erbracht worden. Der entspre- chende Geschäftsbezug sei nachgewiesen worden, zumal diesbezüglich keine «Zusatzfragen gestellt worden» seien (Beschwerden S. 23 f.). – Die vorinstanzliche Feststellung, die Einladung vom 19.-21. Juli 2019 habe die engsten Familienmitglieder des Alleinaktionärs und seiner Ehefrau betroffen (vgl. angefochtene Entscheide E. 12.2), stützt sich auf die insoweit klare Ho-</w:t>
      </w:r>
    </w:p>
    <w:p>
      <w:r>
        <w:t>Urteil des Verwaltungsgerichts des Kantons Bern vom 17.02.2026, Nrn. 100.2024.294/ 295U, Seite 14 telrechnung (für alle drei Hotelzimmer sind Namen von Familienmitgliedern aufgeführt; vgl. Vorakten StV [act. 4A1] pag. 51-52) und wird von der Be- schwerdeführerin denn auch nicht ernsthaft bestritten. Bei diesen Gegeben- heiten ist unglaubwürdig, dass es sich bei der Zusammenkunft in einem Luxushotel und einem gastronomischen Spitzenlokal nicht um ein privates Treffen des Alleinaktionärs mit seiner Familie, sondern um einen geschäftli- chen Anlass der Beschwerdeführerin zugunsten ihrer «engsten Kundschaft» gehandelt hat. Dies umso mehr, als am Abendessen in C.________ offenbar bloss vier Personen teilgenommen haben (vgl. Vorakten StV [act. 4A1] pag. 47). Die Beschwerdeführerin müsste eindeutige Belege für einen direk- ten Geschäftsbezug präsentieren können, damit beweismässig nicht von ei- nem Familienfest auszugehen ist. Solche liegen indes keine vor. Auch wenn offenbar zumindest zu einem der Söhne des Alleinaktionärs Geschäftsbezie- hungen existieren, ist kaum davon auszugehen, dass die wichtigste Kund- schaft der Beschwerdeführerin einzig aus dessen Familienangehörigen besteht. Für die Natur des Anlasses im Juli 2019 ergibt sich aus den akten- kundigen drei Rechnungen, die die Beschwerdeführerin in den Jahren 2018 und 2022 an Gesellschaften adressiert hat, die vom Sohn ihres Alleinaktio- närs geleitet werden (Vorakten StV [act. 4A1] pag. 100 und Vorakten StRK [act. 4A] pag. 56 und 58), aber ohnehin nichts Aussagekräftiges.</w:t>
      </w:r>
    </w:p>
    <w:p>
      <w:r>
        <w:rPr>
          <w:b/>
        </w:rPr>
        <w:t>E. 5.2.3</w:t>
      </w:r>
    </w:p>
    <w:p>
      <w:r>
        <w:t>Am 28. Juni 2019 will die Beschwerdeführerin sodann einen Mitarbei- teranlass durchgeführt haben, macht aber in Bezug auf die verbuchten Auf- wendungen für einen Restaurantbesuch (vgl. Vorakten StV [act. 4A1] pag. 53) keinerlei Angaben zu den Teilnehmerinnen und Teilnehmern; ebenso wenig bemüht sie sich um den Nachweis, dass an diesem Datum tatsächlich ein Anlass für (aktuelle und ehemalige) Angestellte stattgefunden hat. Sie bringt einzig vor, «im Falle von Zweifeln» hätten die Steuerbehörden nachfragen müssen, sei doch «der direkte Beweis […] einfach möglich». Sie verkennt offenbar, dass sie aufgrund ihrer Mitwirkungspflicht gehalten wäre, unaufgefordert alle sachdienlichen Unterlagen einzureichen (vgl. vorne E. 4.3 und 5.2.1).</w:t>
      </w:r>
    </w:p>
    <w:p>
      <w:r>
        <w:rPr>
          <w:b/>
        </w:rPr>
        <w:t>E. 5.3</w:t>
      </w:r>
    </w:p>
    <w:p>
      <w:r>
        <w:t>Mithin vermag die Beschwerdeführerin nicht darzutun, dass es sich bei den als Werbeaufwand verbuchten Fr. 18'996.-- um geschäftsmässig be- gründeten Aufwand handelt. Soweit beweismässig nicht ohnehin von priva-</w:t>
      </w:r>
    </w:p>
    <w:p>
      <w:r>
        <w:t>Urteil des Verwaltungsgerichts des Kantons Bern vom 17.02.2026, Nrn. 100.2024.294/ 295U, Seite 15 tem Lebensaufwand des Alleinaktionärs und dessen Ehefrau auszugehen ist (E. 5.2.2), obliegt die Beweislast für solche steuermindernden Aufwendun- gen der Beschwerdeführerin (vorne E. 3.3), weshalb die vorinstanzlichen Entscheide auch bezüglich der Aufrechnung des verbuchten Werbeauf- wands nicht zu beanstanden sind; dieser ist gestützt auf Art. 85 Abs. 2 Bst. b StG und Art. 58 Abs. 1 Bst. b DBG zum steuerbaren Reingewinn zu zählen. – Nichts daran ändert der Hinweis der Beschwerdeführerin auf das Anwaltsgeheimnis (vgl. Art. 13 des Bundesgesetzes vom 23. Juni 2000 über die Freizügigkeit der Anwältinnen und Anwälte [Anwaltsgesetz, BGFA; SR 935.61] und Art. 321 des Schweizerischen Strafgesetzbuches [StGB; SR 311.0]), dem der Hauptaktionär und ein anderer für sie tätiger Rechtsan- walt 2019 unterstellt gewesen seien. Was die Beschwerdeführerin mit die- sem Vorbringen genau geltend macht, ist nicht ohne weiteres verständlich, erklärt sie doch selber, es seien von ihr keine Informationen verlangt worden, die vom Berufsgeheimnis erfasst würden. Ein Zusammenhang zur vorliegen- den Streitigkeit besteht wohl insoweit, als sie aber die Auffassung äussert, die Namen der 80 Personen, die sie zum Anlass vom 7. Juni 2019 eingela- den habe, dürften auf den Buchungsbelegen ihrer Buchhaltung nicht aufge- führt werden; der «Nachweis der geschäftsmässigen Begründetheit» des Aufwands könne aber anderweitig erbracht werden (Beschwerden S. 11 ff.). Als im Widerspruch dazu erscheint, dass die Beschwerdeführerin gleichzei- tig geltend macht, «das Einholen einer Liste der Eingeladenen» als Beweis- massnahme «vorgeschlagen» zu haben (vorne E. 2.1). Sie hat sich aber sowieso nicht um einen Nachweis des geschäftlichen Bezugs bemüht und insbesondere auch nicht offengelegt, welche Personen am 7. Juni 2019 ef- fektiv zugegen waren (vorne E. 5.2.1). Dies, obschon eine solche Informa- tion nach Ansicht der Beschwerdeführerin selber mit dem Anwaltsgeheimnis vereinbar sein müsste, hat sie doch in Bezug auf den Anlass vom Juli 2019 in B.________ und C.________ eine Hotelrechnung als Buchungsbeleg ein- gereicht, aus dem die Namen der Eingeladenen ersichtlich sind. Bei diesen Gegebenheiten braucht nicht erörtert zu werden, inwiefern sich die Be- schwerdeführerin hinsichtlich der Angabe, wen sie zu einem «Firmenju- biläum» eingeladen hat, überhaupt auf das Anwaltsgeheimnis berufen kann.</w:t>
      </w:r>
    </w:p>
    <w:p>
      <w:r>
        <w:t>Urteil des Verwaltungsgerichts des Kantons Bern vom 17.02.2026, Nrn. 100.2024.294/ 295U, Seite 16</w:t>
      </w:r>
    </w:p>
    <w:p>
      <w:r>
        <w:rPr>
          <w:b/>
        </w:rPr>
        <w:t>E. 6</w:t>
      </w:r>
    </w:p>
    <w:p>
      <w:r>
        <w:t>Zusammengefasst ist der StRK keine Verletzung von Verfahrensrechten der Beschwerdeführerin vorzuwerfen (vorne E. 2) und die StRK hat die Aufrech- nung der streitigen Aufwandpositionen als nicht geschäftsmässig begründet zu Recht geschützt, sowohl jene betreffend Weiterbildung (vorne E. 4) als auch jene betreffend Werbeaufwand (vorne E. 5). Die angefochtenen Ent- scheide halten damit der Rechtskontrolle stand.</w:t>
      </w:r>
    </w:p>
    <w:p>
      <w:r>
        <w:rPr>
          <w:b/>
        </w:rPr>
        <w:t>E. 7</w:t>
      </w:r>
    </w:p>
    <w:p>
      <w:r>
        <w:t>Die Beschwerden erweisen sich als unbegründet und sind abzuweisen. Bei diesem Ausgang der Verfahren wird die Beschwerdeführerin kostenpflichtig (Art. 151 StG i.V.m. Art. 108 Abs. 1 VRPG; Art. 145 Abs. 2 i.V.m. Art. 144 Abs. 1 DBG). Parteikosten sind keine zu sprechen (Art. 151 StG i.V.m. Art. 108 Abs. 3 VRPG und Art. 104 Abs. 3 VRPG; Art. 145 Abs. 2 i.V.m. Art. 144 Abs. 4 DBG und Art. 64 Abs. 1 des Bundesgesetzes vom 20. De- zember 1968 über das Verwaltungsverfahren [Verwaltungsverfahrensge- 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